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2023 11 vom 13. Februar 2026</w:t>
      </w:r>
    </w:p>
    <w:p>
      <w:r>
        <w:t>GR Gerichte, 2026-02-13, DE</w:t>
      </w:r>
    </w:p>
    <w:p>
      <w:r>
        <w:rPr>
          <w:b/>
        </w:rPr>
        <w:t xml:space="preserve">Quelle: </w:t>
      </w:r>
      <w:r>
        <w:t>https://mcp.opencaselaw.ch/entscheid/gr_gerichte_PVG 2023 11</w:t>
      </w:r>
    </w:p>
    <w:p>
      <w:r>
        <w:t>FR: GR_GERICHTE PVG 2023 11 du 13 février 2026</w:t>
      </w:r>
    </w:p>
    <w:p>
      <w:r>
        <w:t>IT: GR_GERICHTE PVG 2023 11 del 13 febbraio 2026</w:t>
      </w:r>
    </w:p>
    <w:p>
      <w:pPr>
        <w:pStyle w:val="Heading2"/>
      </w:pPr>
      <w:r>
        <w:t>Erwägungen</w:t>
      </w:r>
    </w:p>
    <w:p>
      <w:r>
        <w:rPr>
          <w:b/>
        </w:rPr>
        <w:t>E. 1</w:t>
      </w:r>
    </w:p>
    <w:p>
      <w:r>
        <w:t>Raumordnung und Umweltschutz</w:t>
      </w:r>
    </w:p>
    <w:p>
      <w:r>
        <w:rPr>
          <w:b/>
        </w:rPr>
        <w:t>E. 6</w:t>
      </w:r>
    </w:p>
    <w:p>
      <w:r>
        <w:t>Planisaziun dal territori e protecziun da l’ambient Pianificazione territoriale e protezione dell’ambiente</w:t>
      </w:r>
    </w:p>
    <w:p>
      <w:r>
        <w:rPr>
          <w:b/>
        </w:rPr>
        <w:t>E. 11</w:t>
      </w:r>
    </w:p>
    <w:p>
      <w:r>
        <w:t>macht die Gesuche zusammen mit dem Baugesuch in ortsüblicher Weise bekannt und legt die Gesuchsunterlagen während der Bauauflagefrist zur öffentlichen Einsichtnahme auf. Gesuche um gewässerschutzrechtliche Bewilligungen, gegen deren Erteilung das Beschwerderecht nach Art. 12 Abs. 1 (lit. b) NHG besteht, macht die Gemeinde zudem im Kantonsamtsblatt bekannt (Abs. 2; vgl. auch Art. 54 Abs. 1 KRVO). Nach Art. 10 KGSchV können Beschwerdeberechtigte während der Dauer der Auflage bei der Gemeinde Einsprache erheben (Abs. 1; siehe auch Art. 54 Abs. 2 KRVO). Diese leitet nach Ablauf der Einsprachefrist die Gesuchsunterlagen samt allfälligen Einsprachen der Fachstelle zuhanden der zuständigen Bewilligungsbehörde weiter. Steht das Gesuch um eine gewässerschutzrechtliche Bewilligung im Zusammenhang mit einem Bauvorhaben, für das eine Bewilligung der zuständigen kantonalen Behörde für Bauten und Anlagen ausserhalb der Bauzone erforderlich ist, leitet die Gemeinde die Gesuchsunterlagen an diese weiter (Abs. 2; siehe auch Art. 55 Abs. 1 und Art. 56 Abs. 1 KRVO). Die zuständige Bewilligungsbehörde stellt die gewässerschutzrechtliche Bewilligung der Gemeinde zur Eröffnung an die Gesuchstellerin oder den Gesuchsteller und an allfällige Einsprechende zu und die Gemeinde eröffnet die gewässerschutzrechtliche Bewilligung gleichzeitig mit der Baubewilligung (Abs. 3 und 4; siehe auch Art. 55 Abs. 2 KRVO). Dementsprechend skizziert das ANU in seiner publizierten Vollzugshilfe Wärmepumpenanlagen - Anforderungen und Bewilligungspraxis vom 3. August 2022 den vorgenannten Verfahrensablauf. Ausserdem wird darin festgehalten, dass bei einer komplexeren Erdwärmesondenanlage (&gt; 4 Erdwärmesonden) eine detaillierte Dimensionierung mit den am Standort vorhandenen gültigen Randbedingungen gemäss dem Formular F- 405-02(d) bzw. nach SIA 384/6 vorgenommen werden muss. Das Gesuch für den Bau und Betrieb einer Wärmepumpenanlage mit Erdwärmesonden ist mittels Formular F- 405-01(d) bei der Gemeinde zu Handen des ANU einzureichen (ANU, Vollzugshilfe Wärmepumpenanlagen - Anforderungen und Bewilligungspraxis vom 3. August 2022, S. 3 f., Vollzugshilfe und Formulare abrufbar unter: https://www.gr.ch/DE/institutionen/verwaltung/ekud/anu/themen/waermepumpen/erd waerme/Seiten/info.aspx; siehe auch bereits die Weisung BW003d des ANU vom April 2014, S. 2 ff., abrufbar unter: https://www.gr.ch/DE/publikationen/Verwaltungsverordnungen/BW003d_Bewilligungs pflichtWaermepumpen.pdf). 4.6. Das Grundstück der Bauherrschaft befindet sich einerseits im Bereich für nur bedingt zulässige Erdwärmenutzung und teilweise auch im Gewässerschutzbereich Au (siehe https://edit.geo.gr.ch/s/...). Gemäss dem Dokument "Ablauf des Bewilligungsverfahrens für Erdwärmesonden" des ANU sind vorliegend hydrologische Vorabklärungen zu Risiken und Massnahmen nicht auszuschliessen</w:t>
      </w:r>
    </w:p>
    <w:p>
      <w:r>
        <w:t>6/11 Raumordnung und Umweltschutz PVG 2023</w:t>
      </w:r>
    </w:p>
    <w:p>
      <w:r>
        <w:rPr>
          <w:b/>
        </w:rPr>
        <w:t>E. 12</w:t>
      </w:r>
    </w:p>
    <w:p>
      <w:r>
        <w:t>(vgl. ANU, Vollzugshilfe Wärmepumpenanlagen - Anforderungen und Bewilligungspraxis vom 3. August 2022, S. 3, wonach bei unklaren geologischen oder hydrogeologischen Verhältnissen sogar eine hydrogeologische Vorabklärung vorzunehmen wäre). Erst danach könnten die notwendigen Bewilligungen mit Standard- und Spezialauflagen erteilt werden (vgl. auch ANU, Ablauf Baubewilligungsverfahren für Erdwärmesonden, abrufbar unter: https://www.gr.ch/DE/institutionen/verwaltung/ekud/anu/ANU_Dokumente/ANU-406- 08d_Bewilligungsverfahren_Erdwaermesonden.pdf). Betreffend die gemäss Energienachweis vom 7. Juni 2021 vorgesehene Wärmepumpenanlage mit sechs Erdsonden und einer Länge der Erdsonden von 120 m (Bg1-act. 17 S. 2) ist ausserdem darauf hinzuweisen, dass es sich hierbei gemäss der Umschreibung in der Vollzugshilfe des ANU um eine komplexe Erdwärmesondenanlage handelt (siehe ANU, Vollzugshilfe Wärmepumpenanlagen - Anforderungen und Bewilligungspraxis vom 3. August 2022, S. 3 und die vorstehende Erwägung 4.5) und im Bereich der Bauparzelle 2966 gemäss der kantonalen Erdwärmekarte eine Tiefenbeschränkung für Bohrungen von max. 90 m gilt. Schliesslich hat ausweislich der Akten das für die Erteilung der fraglichen Zusatzbewilligung für eine Wärmepumpe mit Erdwärmesonden (siehe Ziffer A16 in der Liste DVS Zusatzbewilligungen) zuständige ANU bisher noch keine Kenntnis vom Bauvorhaben bzw. äusserte sich nicht bereits zustimmend dazu (vgl. Art. 55 Abs. 3 KRVO). In diesem Zusammenhang stellt sich auch noch die Frage, wie die Lage zumindest des nordwestlichen Teils des (unter dem gewachsenen Terrain liegenden) Sockelgeschosses im Gewässerschutzbereich Au gewässerschutzrechtlich zu beurteilen ist. Denn wie bereits in der vorstehenden Erwägung 4.5 erwähnt, benötigen beispielsweise Untertagebauten oder Anlagen, die Deckschichten oder Grundwasserstauer verletzten, gemäss Art. 19 Abs. 2 GSchG, Art. 32 Abs. 2 lit. a und b GSchV und Art. 7 Abs. 1 lit. d KGSchV eine Bewilligung des ANU, wenn sie Gewässer gefährden können. Zu diesem Gesichtspunkt findet sich in den angefochtenen Entscheiden vom 12. Oktober 2021 oder den Rechtsschriften im vorliegenden Verfahren aber auch keine sachdienlichen Ausführungen. 4.7. Aufgrund dieser Sachlage sowie mangels Vorliegen eines konkreten Gesuches um Bewilligung einer Wärmepumpenanlage zur Nutzung von Bodenwärme mittels Erdsonden inkl. Situations- und Übersichtsplänen kann der Ausgang des zusätzlichen Bewilligungsverfahrens nicht eindeutig abgeschätzt werden. Andererseits bedingte eine allenfalls verweigerte gewässerschutzrechtliche Bewilligung des ANU zum Einsatz einer Wärmepumpe mit Erdwärmesonden aller Voraussicht nach eine wesentliche Projektänderung respektive eine erhebliche konzeptionelle Überarbeitung des Projekts (vgl. dazu bereits die vorstehende Erwägung 4.4). Bei verweigerter gewässerschutzrechtlicher Bewilligung könnte in jedem Fall auch nicht mehr auf die</w:t>
      </w:r>
    </w:p>
    <w:p>
      <w:r>
        <w:t>6/11 Raumordnung und Umweltschutz PVG 2023</w:t>
      </w:r>
    </w:p>
    <w:p>
      <w:r>
        <w:rPr>
          <w:b/>
        </w:rPr>
        <w:t>E. 13</w:t>
      </w:r>
    </w:p>
    <w:p>
      <w:r>
        <w:t>Angaben des im Rahmen des Baubewilligungsverfahrens eingereichten Energienachweises vom 7. Juni 2021 (Bg1-act. 13 ff.) abgestellt werden, sondern es wäre mit einem neuen Energienachweis (vgl. Art. 58 Abs. 1 der Energieverordnung des Kantons Graubünden [BEV; BR 820.210] i.V.m. Anhang 1 BEV) die Einhaltung der energie-, bau- und quartierplanrechtlichen Vorschriften nachzuweisen (vgl. insbesondere Art. 9a f. des Energiegesetzes des Kantons Graubünden [BEG; BR 820.200] i.V.m. Art. 2 und 5 ff. BEV; ähnlich Entscheid RA Nr. 100/2010/43 der Bau-, Verkehrs- und Energiedirektion des Kantons Bern vom 30. Juli 2010 E.3b f.). Beim nachträglichen Wechsel auf einen Wärmeerzeuger, der ohne koordinationsbedürftige Gewässerschutzbewilligung des ANU auskäme, wie insbesondere einer Luft/Wasser- oder Luft/Luft-Wärmepumpe (vgl. dazu VGU R 20 99, R 20 100 vom 30. Juni 2022 E.8.3.5) wären grössere planerische Änderungen bzw. eine konzeptionelle Anpassung des Bauprojektes durchaus wahrscheinlich. Damit kann aber offenkundig nicht gesagt werden, es handle sich vorliegend lediglich um einen untergeordneten Mangel, der ohne besondere Schwierigkeiten mittels Auflage/Bedingung in der Baubewilligung behoben werden kann. Die Baubewilligungsbehörde/Beschwerdegegnerin erteilte daher die Baubewilligung in Missachtung der Vorschriften von Art. 88 f. und Art. 92 KRG, Art. 44 und 53 ff. KRVO sowie Art. 53 BG. Dabei wendete sie Art. 90 Abs. 1 KRG zu Unrecht an, indem sie einerseits das strittige Baugesuch als noch nicht spruchreif beurteilte bzw. nicht zur Verbesserung zurückwies, sondern lediglich mit einer Auflage zur Einreichung eines Gesuchs um Bewilligung einer Wärmepumpenanlage vor Baubeginn bewilligte und andererseits die Einsprache des Beschwerdeführers in besagtem Punkt abwies. R 21 108 Urteil vom 3. Oktober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